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12700</wp:posOffset>
                </wp:positionV>
                <wp:extent cx="1679575" cy="17081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957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POWIATOWY ZARZĄD DRÓG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2.650000000000006pt;margin-top:1.pt;width:132.25pt;height:13.4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POWIATOWY ZARZĄD DRÓG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4928870</wp:posOffset>
                </wp:positionH>
                <wp:positionV relativeFrom="paragraph">
                  <wp:posOffset>563880</wp:posOffset>
                </wp:positionV>
                <wp:extent cx="1969135" cy="16446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6913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Nowy Wiśnicz, dn. 11.02.2014 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88.10000000000002pt;margin-top:44.399999999999999pt;width:155.05000000000001pt;height:12.9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Nowy Wiśnicz, dn. 11.02.2014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685" w:val="left"/>
        </w:tabs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Bochni</w:t>
        <w:br/>
        <w:t>z siedzibą w Nowym Wiśniczu</w:t>
        <w:br/>
        <w:t>ul. Limanowska 1 1</w:t>
        <w:br/>
        <w:t>32-720 NOWY WIŚNICZ</w:t>
        <w:br/>
        <w:t>tei. 14 612 82 06.</w:t>
        <w:tab/>
        <w:t>14610 8481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 a ustawy z dnia 21 marca 1985 r. o drogach publicznych (tekst jedn. Dz. U. z 2013 r., poz. 260 z późn. zm.) informuje, iż w trakcie przygotowania jest niżej wymienione zadanie inwestycyjne tj.: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9" w:val="left"/>
        </w:tabs>
        <w:bidi w:val="0"/>
        <w:spacing w:before="0" w:after="22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drogi powiatowej nr 1424K Bochnia - Uście Solne - Barczków na odcinku Bochnia - Bogucice.”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wymienionej inwestycji może powstać obowiązek wybudowania w pasie drogowym kanałów technologicznych, o ile w ciągu 60 dni od daty umieszczenia niniejszej informacji na stronie internetowej, zgłosi się podmiot zainteresowany udostępnieniem takiego kanału. Kanały udostępniane są na zasadach uregulowanych w art. 39 ust. 7 - 7 f ustawy z dnia 21 marca 1999 roku o drogach publicznych.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a ustawy jw. kanał technologiczny to ciąg osłonowych elementów obudowy, studni kablowych oraz innych obiektów lub urządzeń służących umieszczaniu lub eksploatacji: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8" w:val="left"/>
        </w:tabs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8" w:val="left"/>
        </w:tabs>
        <w:bidi w:val="0"/>
        <w:spacing w:before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b ustawy o drogach publicznych podmiot, który zgłosi zainteresowanie udostępnieniem przez zarządcę drogi kanału technologicznego, a następnie, po jego wybudowaniu nie złoży oferty (zawarcie umowy najmu lub dzierżawy zgodnie z art. 7 ustawy), jest obowiązany zwrócić zarządcy drogi koszty wybudowania kanału technologicznego, o ile nie udostępniono tego kanału innym podmiotom.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2240" w:h="15840"/>
          <w:pgMar w:top="816" w:right="1234" w:bottom="856" w:left="1301" w:header="388" w:footer="428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18/20, 01-211 Warszawa.</w:t>
      </w: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816" w:right="0" w:bottom="816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4047490</wp:posOffset>
            </wp:positionH>
            <wp:positionV relativeFrom="paragraph">
              <wp:posOffset>12700</wp:posOffset>
            </wp:positionV>
            <wp:extent cx="3157855" cy="96901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157855" cy="9690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816" w:right="893" w:bottom="816" w:left="130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4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397BF"/>
      <w:sz w:val="19"/>
      <w:szCs w:val="19"/>
      <w:u w:val="none"/>
    </w:rPr>
  </w:style>
  <w:style w:type="character" w:customStyle="1" w:styleId="CharStyle5">
    <w:name w:val="Tekst treści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397BF"/>
      <w:sz w:val="16"/>
      <w:szCs w:val="16"/>
      <w:u w:val="none"/>
    </w:rPr>
  </w:style>
  <w:style w:type="character" w:customStyle="1" w:styleId="CharStyle9">
    <w:name w:val="Tekst treści (3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Tekst treści (4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397BF"/>
      <w:sz w:val="19"/>
      <w:szCs w:val="19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180"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  <w:spacing w:after="1280" w:line="187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397BF"/>
      <w:sz w:val="16"/>
      <w:szCs w:val="16"/>
      <w:u w:val="none"/>
    </w:rPr>
  </w:style>
  <w:style w:type="paragraph" w:customStyle="1" w:styleId="Style8">
    <w:name w:val="Tekst treści (3)"/>
    <w:basedOn w:val="Normal"/>
    <w:link w:val="CharStyle9"/>
    <w:pPr>
      <w:widowControl w:val="0"/>
      <w:shd w:val="clear" w:color="auto" w:fill="auto"/>
      <w:spacing w:after="32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