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85" w:lineRule="auto"/>
        <w:ind w:left="1380" w:right="0" w:hanging="9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7" w:val="left"/>
        </w:tabs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4775835</wp:posOffset>
                </wp:positionH>
                <wp:positionV relativeFrom="paragraph">
                  <wp:posOffset>203200</wp:posOffset>
                </wp:positionV>
                <wp:extent cx="2089150" cy="17843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89150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Nowy Wiśnicz, dn. 12.03.2013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6.05000000000001pt;margin-top:16.pt;width:164.5pt;height:14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Nowy Wiśnicz, dn. 12.03.2013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siedzi bo. w Nowym Wiśniczu</w:t>
        <w:br/>
        <w:t>ul. Limanowski) ? 1</w:t>
        <w:br/>
        <w:t>32-720 NOWY WIŚNICZ</w:t>
        <w:br/>
        <w:t>tel. 14 612 82 06, fax: 14 610 84 81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Powiatowy Zarząd Dróg w Bochni z/s w Nowym Wiśniczu działając na podstawie art. 39 ust. 6 a ustawy z dnia 21 marca 1985 r. o drogach publicznych (Dz. U. z 2007 r. Nr 19 poz. 115 z późn. zm.) informuje, iż w trakcie przygotowania jest zadanie: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drogi powiatowej nr 1443K Poręba Spytkowska - Bochnia (ul. Brzeźnicka, ul. Floris) w m. Bochnia”.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Zadanie dotyczy likwidacji niebezpiecznego zakrętu w ciągu przedmiotowej drogi powiatowej w obszarze połączenia ulic Brzeźnickiej i Floris w m. Bochnia.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wymienionej inwestycji może powstać obowiązek wybudowania w pasie drogowym kanału technologicznego, o ile w ciągu 60 dni od daty umieszczenia niniejszej informacji na stronie internetowej, zgłosi się podmiot zainteresowany udostępnieniem takiego kanału. Kanały udostępniane są na zasadach uregulowanych w art. 39 ust. 7 - 7 f ustawy o drogach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a ustawy jw. kanał technologiczny to ciąg osłonowych elementów obudowy, studni kablowych oraz innych obiektów lub urządzeń służących umieszczaniu lub eksploatacji: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3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b ustawy o drogach publicznych podmiot, który zgłosi zainteresowanie udostępnieniem przez zarządcę drogi kanału technologicznego, a następnie, po jego wybudowaniu nie złoży oferty (zawarcie umowy najmu lub dzierżawy zgodnie z art. 7 ustawy), jest obowiązany zwrócić zarządcy drogi koszty wybudowania kanału technologicznego, o ile nie udostępniono tego kanału innym podmiotom.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Bochni,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671" w:right="1023" w:bottom="2042" w:left="1045" w:header="243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5596890</wp:posOffset>
              </wp:positionH>
              <wp:positionV relativeFrom="page">
                <wp:posOffset>9396730</wp:posOffset>
              </wp:positionV>
              <wp:extent cx="1250315" cy="1143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50315" cy="114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93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E15C9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wgr</w:t>
                            <w:tab/>
                          </w:r>
                          <w:r>
                            <w:rPr>
                              <w:i/>
                              <w:iCs/>
                              <w:color w:val="E15C97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Kort a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40.69999999999999pt;margin-top:739.89999999999998pt;width:98.450000000000003pt;height:9.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9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E15C9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wgr</w:t>
                      <w:tab/>
                    </w:r>
                    <w:r>
                      <w:rPr>
                        <w:i/>
                        <w:iCs/>
                        <w:color w:val="E15C97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Kort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7"/>
      <w:numFmt w:val="decimal"/>
      <w:lvlText w:val="%1."/>
      <w:rPr>
        <w:rFonts w:ascii="Arial" w:eastAsia="Arial" w:hAnsi="Arial" w:cs="Arial"/>
        <w:b w:val="0"/>
        <w:bCs w:val="0"/>
        <w:i/>
        <w:iCs/>
        <w:smallCaps w:val="0"/>
        <w:strike w:val="0"/>
        <w:color w:val="DC91C4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C91C4"/>
      <w:sz w:val="17"/>
      <w:szCs w:val="17"/>
      <w:u w:val="none"/>
    </w:rPr>
  </w:style>
  <w:style w:type="character" w:customStyle="1" w:styleId="CharStyle7">
    <w:name w:val="Nagłówek lub stopka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Tekst treści (3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820" w:line="204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C91C4"/>
      <w:sz w:val="17"/>
      <w:szCs w:val="17"/>
      <w:u w:val="none"/>
    </w:rPr>
  </w:style>
  <w:style w:type="paragraph" w:customStyle="1" w:styleId="Style6">
    <w:name w:val="Nagłówek lub stopka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Tekst treści (3)"/>
    <w:basedOn w:val="Normal"/>
    <w:link w:val="CharStyle13"/>
    <w:pPr>
      <w:widowControl w:val="0"/>
      <w:shd w:val="clear" w:color="auto" w:fill="auto"/>
      <w:spacing w:after="320"/>
      <w:ind w:firstLine="21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