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 O W1 AT O W Y Z A R Z Ą D DRÓC&gt;</w:t>
        <w:br/>
        <w:t>w Bochni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76200</wp:posOffset>
                </wp:positionV>
                <wp:extent cx="2096135" cy="1784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613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18.11.2013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3.30000000000001pt;margin-top:6.pt;width:165.05000000000001pt;height:14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18.11.2013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siedzibą w Nowj m Wiśniczu</w:t>
        <w:br/>
        <w:t>ul. Limanowską 1 1</w:t>
        <w:br/>
        <w:t>i2^7do MOWY WtSNlCZ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tcf 11612 82 06, fax: t 4 6 I 0 84 H 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(Dz. U. z 2007 r. Nr 19 poz. 115 z późn. zm.) informuje, iż w trakcie przygotowania są zadania: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„Odbudowa mostu o JNI 30004002 w ciągu drogi powiatowej nr 2021K Siedlec - Stradomka - Nieznanowice w miejscowości Stradomka”,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„Budowa chodnika z kanalizacją deszczową w ciągu drogi powiatowej nr 1424K Bochnia - Uście Solne - Barczków w miejscowości Cerekiew”.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 f ustawy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Bochni,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280" w:firstLine="0"/>
        <w:jc w:val="right"/>
      </w:pPr>
      <w:r>
        <w:rPr>
          <w:color w:val="C75990"/>
          <w:spacing w:val="0"/>
          <w:w w:val="100"/>
          <w:position w:val="0"/>
          <w:shd w:val="clear" w:color="auto" w:fill="auto"/>
          <w:lang w:val="pl-PL" w:eastAsia="pl-PL" w:bidi="pl-PL"/>
        </w:rPr>
        <w:t>DYI^T&lt;k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783" w:right="1061" w:bottom="2291" w:left="978" w:header="35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9238615</wp:posOffset>
              </wp:positionV>
              <wp:extent cx="1243330" cy="1689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3330" cy="168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9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D7386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wgr </w:t>
                          </w:r>
                          <w:r>
                            <w:rPr>
                              <w:i/>
                              <w:iCs/>
                              <w:color w:val="D73864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inż.</w:t>
                            <w:tab/>
                            <w:t>&lt;rta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46.pt;margin-top:727.45000000000005pt;width:97.900000000000006pt;height:13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D7386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wgr </w:t>
                    </w:r>
                    <w:r>
                      <w:rPr>
                        <w:i/>
                        <w:iCs/>
                        <w:color w:val="D73864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inż.</w:t>
                      <w:tab/>
                      <w:t>&lt;rta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A4D0"/>
      <w:sz w:val="15"/>
      <w:szCs w:val="15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ekst treści (3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line="20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A4D0"/>
      <w:sz w:val="15"/>
      <w:szCs w:val="15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ekst treści (3)"/>
    <w:basedOn w:val="Normal"/>
    <w:link w:val="CharStyle11"/>
    <w:pPr>
      <w:widowControl w:val="0"/>
      <w:shd w:val="clear" w:color="auto" w:fill="auto"/>
      <w:spacing w:after="3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